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5"/>
        <w:tblpPr w:leftFromText="142" w:rightFromText="142" w:topFromText="0" w:bottomFromText="0" w:vertAnchor="text" w:horzAnchor="text" w:tblpX="-570" w:tblpY="-623"/>
        <w:tblW w:w="0" w:type="auto"/>
        <w:tblLayout w:type="fixed"/>
        <w:tblLook w:firstRow="1" w:lastRow="0" w:firstColumn="1" w:lastColumn="0" w:noHBand="0" w:noVBand="1" w:val="04A0"/>
      </w:tblPr>
      <w:tblGrid>
        <w:gridCol w:w="10953"/>
      </w:tblGrid>
      <w:tr>
        <w:trPr>
          <w:trHeight w:val="1469" w:hRule="atLeast"/>
        </w:trPr>
        <w:tc>
          <w:tcPr>
            <w:tcW w:w="10953" w:type="dxa"/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　令和５年</w:t>
            </w:r>
            <w:r>
              <w:rPr>
                <w:rFonts w:hint="eastAsia" w:asciiTheme="majorEastAsia" w:hAnsiTheme="majorEastAsia" w:eastAsiaTheme="majorEastAsia"/>
                <w:sz w:val="22"/>
              </w:rPr>
              <w:t>10</w:t>
            </w:r>
            <w:r>
              <w:rPr>
                <w:rFonts w:hint="eastAsia" w:asciiTheme="majorEastAsia" w:hAnsiTheme="majorEastAsia" w:eastAsiaTheme="majorEastAsia"/>
                <w:sz w:val="22"/>
              </w:rPr>
              <w:t>月１日以降の認定申請分から、新型コロナウイルス感染症の発生に起因するセーフティネット保証４号は、資金使途が借換（借換資金に追加融資資金を加えることは可）に限定されています。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2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>ご確認の上、以下にチェックをお願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sz w:val="22"/>
              </w:rPr>
              <w:t>いします。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2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sz w:val="22"/>
              </w:rPr>
              <w:t>☐　当該申請は既存融資の借換を目的とした申請です。</w:t>
            </w:r>
          </w:p>
        </w:tc>
      </w:tr>
    </w:tbl>
    <w:tbl>
      <w:tblPr>
        <w:tblStyle w:val="11"/>
        <w:tblpPr w:leftFromText="142" w:rightFromText="142" w:topFromText="0" w:bottomFromText="0" w:vertAnchor="page" w:horzAnchor="margin" w:tblpX="-546" w:tblpY="1840"/>
        <w:tblW w:w="10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0934"/>
      </w:tblGrid>
      <w:tr>
        <w:trPr>
          <w:trHeight w:val="10755" w:hRule="atLeast"/>
        </w:trPr>
        <w:tc>
          <w:tcPr>
            <w:tcW w:w="10934" w:type="dxa"/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1155" w:firstLineChars="500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中小企業信用保険法第２条第５項第４号の規定による認定申請書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486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right="486"/>
              <w:jc w:val="righ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令和　　　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黒潮町長　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432" w:firstLineChars="1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2946400</wp:posOffset>
                      </wp:positionH>
                      <wp:positionV relativeFrom="paragraph">
                        <wp:posOffset>137795</wp:posOffset>
                      </wp:positionV>
                      <wp:extent cx="604520" cy="1922145"/>
                      <wp:effectExtent l="0" t="0" r="635" b="635"/>
                      <wp:wrapNone/>
                      <wp:docPr id="1026" name="テキスト ボックス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04520" cy="1922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</w:rPr>
                                    <w:t>申請者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style="mso-position-vertical-relative:text;z-index:3;mso-wrap-distance-left:9pt;width:47.6pt;height:151.35pt;mso-position-horizontal-relative:text;position:absolute;margin-left:232pt;margin-top:10.85pt;mso-wrap-distance-bottom:0pt;mso-wrap-distance-right:9pt;mso-wrap-distance-top:0pt;v-text-anchor:top;" o:spid="_x0000_s1026" o:allowincell="t" o:allowoverlap="t" filled="t" fillcolor="#ffffff" stroked="f" o:spt="202" type="#_x0000_t202">
                      <v:fill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申請者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住　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事業所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</w:rPr>
              <w:t>)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894" w:firstLineChars="1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氏　名　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印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私は、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（注１）の発生に起因して、下記のとおり、経営の安定に支障が生じておりますので、中小企業信用保険法第２条第５項第４号の規定に基づき認定されるようお願いします。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記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１　事業開始年月日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auto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２　売上高等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462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(1)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最近１箇月間の売上高等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Ｂ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Ａ：災害等の発生における最近１箇月間の売上高等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Ｂ：Ａの期間に対応する前年１箇月間の売上高等　　　　　　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　　　　　　　　　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462" w:firstLineChars="2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(2)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最近３箇月間の売上高等の実績見込み（注２）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減少率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Ｂ＋Ｄ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×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>100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Ｃ：Ａの期間後２箇月間の見込み売上高等　　　　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</w:rPr>
              <w:t xml:space="preserve">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Ｄ：Ｃの期間に対応する前年の２箇月間の売上高等　　　　　　</w:t>
            </w:r>
            <w:r>
              <w:rPr>
                <w:rFonts w:hint="default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 xml:space="preserve">                  </w:t>
            </w: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  <w:u w:val="single" w:color="000000"/>
              </w:rPr>
              <w:t>円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31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6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="263" w:firstLineChars="100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hint="default" w:ascii="ＭＳ ゴシック" w:hAnsi="ＭＳ ゴシック" w:eastAsia="ＭＳ ゴシック"/>
                <w:color w:val="000000"/>
                <w:spacing w:val="16"/>
                <w:kern w:val="0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16"/>
                <w:kern w:val="0"/>
                <w:sz w:val="22"/>
                <w:u w:val="single" w:color="auto"/>
              </w:rPr>
              <w:t>　　　　　　　　　　　　　　　　　　　　　　　　　　　　　　　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（注１）には、「災害その他突発的に生じた事由」を入れる。</w:t>
      </w:r>
    </w:p>
    <w:p>
      <w:pPr>
        <w:pStyle w:val="0"/>
        <w:suppressAutoHyphens w:val="1"/>
        <w:spacing w:line="180" w:lineRule="exact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（注２）２の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(2)</w: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の見込み売上高等には、実績を記入することができる。</w:t>
      </w:r>
    </w:p>
    <w:p>
      <w:pPr>
        <w:pStyle w:val="0"/>
        <w:suppressAutoHyphens w:val="1"/>
        <w:spacing w:line="180" w:lineRule="exact"/>
        <w:ind w:left="1230" w:hanging="123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（留意事項）</w:t>
      </w:r>
    </w:p>
    <w:p>
      <w:pPr>
        <w:pStyle w:val="0"/>
        <w:suppressAutoHyphens w:val="1"/>
        <w:spacing w:line="180" w:lineRule="exact"/>
        <w:ind w:firstLine="96" w:firstLineChars="50"/>
        <w:jc w:val="left"/>
        <w:textAlignment w:val="baseline"/>
        <w:rPr>
          <w:rFonts w:hint="default" w:ascii="ＭＳ ゴシック" w:hAnsi="ＭＳ ゴシック" w:eastAsia="ＭＳ ゴシック"/>
          <w:color w:val="000000"/>
          <w:spacing w:val="16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①本認定とは別に、金融機関及び信用保証協会による金融上の審査があります。</w:t>
      </w:r>
    </w:p>
    <w:p>
      <w:pPr>
        <w:pStyle w:val="0"/>
        <w:spacing w:line="180" w:lineRule="exact"/>
        <w:ind w:left="297" w:leftChars="48" w:right="-307" w:rightChars="-139" w:hanging="191" w:hangingChars="100"/>
        <w:rPr>
          <w:rFonts w:hint="default" w:ascii="ＭＳ ゴシック" w:hAnsi="ＭＳ ゴシック" w:eastAsia="ＭＳ ゴシック"/>
          <w:color w:val="000000"/>
          <w:kern w:val="0"/>
          <w:sz w:val="18"/>
        </w:rPr>
      </w:pP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②黒潮町長から認定を受けた後、本認定の有効期間内に金融機関又は信用保証協会に対して、経営安定関連保</w: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-416560</wp:posOffset>
                </wp:positionH>
                <wp:positionV relativeFrom="paragraph">
                  <wp:posOffset>221615</wp:posOffset>
                </wp:positionV>
                <wp:extent cx="6912610" cy="1441450"/>
                <wp:effectExtent l="635" t="635" r="29845" b="10795"/>
                <wp:wrapNone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912610" cy="144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黒潮産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第　　　号　　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令和　　年　　月　　日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　申請のとおり、相違ないことを認定します。</w:t>
                            </w:r>
                          </w:p>
                          <w:p>
                            <w:pPr>
                              <w:pStyle w:val="0"/>
                              <w:ind w:firstLine="221" w:firstLineChars="10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（注）本認定書の有効期間：令和　　年　　月　　日から令和　　年　　月　　日まで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　　　　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　　　　　　　　　　　　　　　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黒潮町長　松本　敏郎　　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2;mso-wrap-distance-left:9pt;width:544.29pt;height:113.5pt;mso-position-horizontal-relative:margin;position:absolute;margin-left:-32.79pt;margin-top:17.45pt;mso-wrap-distance-bottom:0pt;mso-wrap-distance-right:9pt;mso-wrap-distance-top:0pt;v-text-anchor:top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wordWrap w:val="0"/>
                        <w:jc w:val="righ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黒潮産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第　　　号　　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令和　　年　　月　　日　　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　申請のとおり、相違ないことを認定します。</w:t>
                      </w:r>
                    </w:p>
                    <w:p>
                      <w:pPr>
                        <w:pStyle w:val="0"/>
                        <w:ind w:firstLine="221" w:firstLineChars="10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（注）本認定書の有効期間：令和　　年　　月　　日から令和　　年　　月　　日まで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　　　　　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　　　　　　　　　　　　　　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　　　　　　　　　　　　　　　　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黒潮町長　松本　敏郎　　印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000000"/>
          <w:kern w:val="0"/>
          <w:sz w:val="18"/>
        </w:rPr>
        <w:t>証の申込みを行うことが必要です。</w:t>
      </w:r>
    </w:p>
    <w:p>
      <w:pPr>
        <w:pStyle w:val="0"/>
        <w:rPr>
          <w:rFonts w:hint="default" w:eastAsia="ＭＳ ゴシック"/>
          <w:sz w:val="22"/>
        </w:rPr>
      </w:pPr>
    </w:p>
    <w:p>
      <w:pPr>
        <w:pStyle w:val="0"/>
        <w:rPr>
          <w:rFonts w:hint="default" w:eastAsia="ＭＳ ゴシック"/>
          <w:sz w:val="22"/>
        </w:rPr>
      </w:pPr>
    </w:p>
    <w:p>
      <w:pPr>
        <w:pStyle w:val="0"/>
        <w:rPr>
          <w:rFonts w:hint="default" w:eastAsia="ＭＳ ゴシック"/>
          <w:sz w:val="22"/>
        </w:rPr>
      </w:pPr>
    </w:p>
    <w:p>
      <w:pPr>
        <w:pStyle w:val="0"/>
        <w:rPr>
          <w:rFonts w:hint="default" w:eastAsia="ＭＳ ゴシック"/>
          <w:sz w:val="22"/>
        </w:rPr>
      </w:pPr>
    </w:p>
    <w:p>
      <w:pPr>
        <w:pStyle w:val="0"/>
        <w:rPr>
          <w:rFonts w:hint="default" w:eastAsia="ＭＳ ゴシック"/>
          <w:sz w:val="22"/>
        </w:rPr>
      </w:pPr>
    </w:p>
    <w:p>
      <w:pPr>
        <w:pStyle w:val="0"/>
        <w:rPr>
          <w:rFonts w:hint="default" w:eastAsia="ＭＳ ゴシック"/>
          <w:sz w:val="22"/>
        </w:rPr>
      </w:pPr>
    </w:p>
    <w:p>
      <w:pPr>
        <w:pStyle w:val="0"/>
        <w:suppressAutoHyphens w:val="1"/>
        <w:kinsoku w:val="0"/>
        <w:overflowPunct w:val="0"/>
        <w:autoSpaceDE w:val="0"/>
        <w:autoSpaceDN w:val="0"/>
        <w:adjustRightInd w:val="0"/>
        <w:spacing w:line="274" w:lineRule="atLeast"/>
        <w:ind w:right="486"/>
        <w:jc w:val="right"/>
        <w:textAlignment w:val="baseline"/>
        <w:rPr>
          <w:rFonts w:hint="default" w:asciiTheme="majorEastAsia" w:hAnsiTheme="majorEastAsia" w:eastAsiaTheme="majorEastAsia"/>
          <w:color w:val="000000"/>
          <w:spacing w:val="16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</w:rPr>
        <w:t>　　</w:t>
      </w:r>
      <w:r>
        <w:rPr>
          <w:rFonts w:hint="eastAsia" w:ascii="ＭＳ ゴシック" w:hAnsi="ＭＳ ゴシック" w:eastAsia="ＭＳ ゴシック"/>
        </w:rPr>
        <w:t>（</w:t>
      </w:r>
      <w:r>
        <w:rPr>
          <w:rFonts w:hint="eastAsia" w:asciiTheme="majorEastAsia" w:hAnsiTheme="majorEastAsia" w:eastAsiaTheme="majorEastAsia"/>
        </w:rPr>
        <w:t>中小企業信用保険法第２条第５項第４号認定</w:t>
      </w:r>
      <w:r>
        <w:rPr>
          <w:rFonts w:hint="eastAsia" w:ascii="ＭＳ ゴシック" w:hAnsi="ＭＳ ゴシック" w:eastAsia="ＭＳ ゴシック"/>
        </w:rPr>
        <w:t>申請書の添付書類）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kern w:val="0"/>
          <w:u w:val="single" w:color="000000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16"/>
          <w:kern w:val="0"/>
        </w:rPr>
      </w:pPr>
      <w:r>
        <w:rPr>
          <w:rFonts w:hint="eastAsia" w:asciiTheme="majorEastAsia" w:hAnsiTheme="majorEastAsia" w:eastAsiaTheme="majorEastAsia"/>
          <w:color w:val="000000"/>
          <w:kern w:val="0"/>
          <w:u w:val="single" w:color="000000"/>
        </w:rPr>
        <w:t>申請者名　　　　　　　　　　　　　</w:t>
      </w:r>
      <w:r>
        <w:rPr>
          <w:rFonts w:hint="eastAsia" w:asciiTheme="majorEastAsia" w:hAnsiTheme="majorEastAsia" w:eastAsiaTheme="majorEastAsia"/>
          <w:color w:val="000000"/>
          <w:kern w:val="0"/>
          <w:u w:val="single" w:color="000000"/>
        </w:rPr>
        <w:t xml:space="preserve"> </w:t>
      </w:r>
      <w:r>
        <w:rPr>
          <w:rFonts w:hint="eastAsia" w:asciiTheme="majorEastAsia" w:hAnsiTheme="majorEastAsia" w:eastAsiaTheme="majorEastAsia"/>
          <w:color w:val="000000"/>
          <w:kern w:val="0"/>
          <w:u w:val="single" w:color="000000"/>
        </w:rPr>
        <w:t>印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hint="default" w:asciiTheme="majorEastAsia" w:hAnsiTheme="majorEastAsia" w:eastAsiaTheme="majorEastAsia"/>
          <w:color w:val="000000"/>
          <w:spacing w:val="16"/>
          <w:kern w:val="0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　最近１箇月間の売上高について</w:t>
      </w:r>
    </w:p>
    <w:p>
      <w:pPr>
        <w:pStyle w:val="0"/>
        <w:numPr>
          <w:ilvl w:val="1"/>
          <w:numId w:val="1"/>
        </w:numPr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最近１箇月間の売上高について　　　　　　　　　　　　　　　　　（単位：円）</w:t>
      </w:r>
    </w:p>
    <w:tbl>
      <w:tblPr>
        <w:tblStyle w:val="24"/>
        <w:tblW w:w="8506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977"/>
        <w:gridCol w:w="5529"/>
      </w:tblGrid>
      <w:tr>
        <w:trPr/>
        <w:tc>
          <w:tcPr>
            <w:tcW w:w="2977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最近の売上高（実績）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ind w:firstLine="1990" w:firstLineChars="9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年　　　　　月</w:t>
            </w:r>
          </w:p>
        </w:tc>
      </w:tr>
      <w:tr>
        <w:trPr/>
        <w:tc>
          <w:tcPr>
            <w:tcW w:w="2977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52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【Ａ】</w:t>
            </w:r>
          </w:p>
        </w:tc>
      </w:tr>
    </w:tbl>
    <w:p>
      <w:pPr>
        <w:pStyle w:val="0"/>
        <w:ind w:left="420"/>
        <w:rPr>
          <w:rFonts w:hint="default" w:asciiTheme="majorEastAsia" w:hAnsiTheme="majorEastAsia" w:eastAsiaTheme="majorEastAsia"/>
        </w:rPr>
      </w:pPr>
    </w:p>
    <w:p>
      <w:pPr>
        <w:pStyle w:val="0"/>
        <w:numPr>
          <w:ilvl w:val="1"/>
          <w:numId w:val="1"/>
        </w:numPr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上記の期間に対応する前年１箇月間の売上高　　　　　　　　　　　（単位：円）</w:t>
      </w:r>
    </w:p>
    <w:tbl>
      <w:tblPr>
        <w:tblStyle w:val="24"/>
        <w:tblW w:w="8506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977"/>
        <w:gridCol w:w="5529"/>
      </w:tblGrid>
      <w:tr>
        <w:trPr/>
        <w:tc>
          <w:tcPr>
            <w:tcW w:w="2977" w:type="dxa"/>
            <w:vMerge w:val="restart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前年同月の売上高（実績）</w:t>
            </w:r>
          </w:p>
        </w:tc>
        <w:tc>
          <w:tcPr>
            <w:tcW w:w="5529" w:type="dxa"/>
            <w:vAlign w:val="top"/>
          </w:tcPr>
          <w:p>
            <w:pPr>
              <w:pStyle w:val="0"/>
              <w:ind w:firstLine="1990" w:firstLineChars="9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　年　　　　　月</w:t>
            </w:r>
          </w:p>
        </w:tc>
      </w:tr>
      <w:tr>
        <w:trPr/>
        <w:tc>
          <w:tcPr>
            <w:tcW w:w="2977" w:type="dxa"/>
            <w:vMerge w:val="continue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5529" w:type="dxa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【Ｂ】</w:t>
            </w:r>
          </w:p>
        </w:tc>
      </w:tr>
    </w:tbl>
    <w:p>
      <w:pPr>
        <w:pStyle w:val="0"/>
        <w:ind w:left="420"/>
        <w:rPr>
          <w:rFonts w:hint="default" w:asciiTheme="majorEastAsia" w:hAnsiTheme="majorEastAsia" w:eastAsiaTheme="majorEastAsia"/>
        </w:rPr>
      </w:pPr>
    </w:p>
    <w:p>
      <w:pPr>
        <w:pStyle w:val="0"/>
        <w:numPr>
          <w:ilvl w:val="1"/>
          <w:numId w:val="1"/>
        </w:numPr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最近１箇月間の売上高等の実績減少率</w:t>
      </w:r>
    </w:p>
    <w:p>
      <w:pPr>
        <w:pStyle w:val="0"/>
        <w:ind w:firstLine="442" w:firstLineChars="2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　Ｂ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―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Ａ　）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÷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Ｂ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×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１００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＝</w:t>
      </w:r>
      <w:r>
        <w:rPr>
          <w:rFonts w:hint="eastAsia" w:asciiTheme="majorEastAsia" w:hAnsiTheme="majorEastAsia" w:eastAsiaTheme="majorEastAsia"/>
          <w:u w:val="single" w:color="auto"/>
        </w:rPr>
        <w:t>　　　　　％</w:t>
      </w:r>
      <w:r>
        <w:rPr>
          <w:rFonts w:hint="eastAsia" w:asciiTheme="majorEastAsia" w:hAnsiTheme="majorEastAsia" w:eastAsiaTheme="majorEastAsia"/>
        </w:rPr>
        <w:t>≧２０．０％</w:t>
      </w:r>
    </w:p>
    <w:p>
      <w:pPr>
        <w:pStyle w:val="0"/>
        <w:rPr>
          <w:rFonts w:hint="default" w:asciiTheme="majorEastAsia" w:hAnsiTheme="majorEastAsia" w:eastAsiaTheme="majorEastAsia"/>
        </w:rPr>
      </w:pPr>
    </w:p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２　１の期間後２箇月間の見込売上高について</w:t>
      </w:r>
    </w:p>
    <w:p>
      <w:pPr>
        <w:pStyle w:val="0"/>
        <w:numPr>
          <w:ilvl w:val="0"/>
          <w:numId w:val="2"/>
        </w:numPr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１の</w:t>
      </w:r>
      <w:r>
        <w:rPr>
          <w:rFonts w:hint="default" w:asciiTheme="majorEastAsia" w:hAnsiTheme="majorEastAsia" w:eastAsiaTheme="majorEastAsia"/>
        </w:rPr>
        <w:t>(1)</w:t>
      </w:r>
      <w:r>
        <w:rPr>
          <w:rFonts w:hint="eastAsia" w:asciiTheme="majorEastAsia" w:hAnsiTheme="majorEastAsia" w:eastAsiaTheme="majorEastAsia"/>
        </w:rPr>
        <w:t>の期間後２箇月間の見込売上高　　　　　　　　　　　</w:t>
      </w:r>
      <w:r>
        <w:rPr>
          <w:rFonts w:hint="eastAsia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　　（単位：円）　</w:t>
      </w:r>
    </w:p>
    <w:tbl>
      <w:tblPr>
        <w:tblStyle w:val="24"/>
        <w:tblW w:w="8506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269"/>
        <w:gridCol w:w="2097"/>
        <w:gridCol w:w="2126"/>
        <w:gridCol w:w="2014"/>
      </w:tblGrid>
      <w:tr>
        <w:trPr>
          <w:trHeight w:val="232" w:hRule="atLeast"/>
        </w:trPr>
        <w:tc>
          <w:tcPr>
            <w:tcW w:w="2269" w:type="dxa"/>
            <w:vMerge w:val="restart"/>
            <w:vAlign w:val="top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今後２箇月の売上高（見込）</w:t>
            </w:r>
          </w:p>
        </w:tc>
        <w:tc>
          <w:tcPr>
            <w:tcW w:w="209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年　　　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年　　　月</w:t>
            </w:r>
          </w:p>
        </w:tc>
        <w:tc>
          <w:tcPr>
            <w:tcW w:w="201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２箇月間の合計</w:t>
            </w:r>
          </w:p>
        </w:tc>
      </w:tr>
      <w:tr>
        <w:trPr>
          <w:trHeight w:val="364" w:hRule="atLeast"/>
        </w:trPr>
        <w:tc>
          <w:tcPr>
            <w:tcW w:w="226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97" w:type="dxa"/>
            <w:vMerge w:val="restart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14" w:type="dxa"/>
            <w:vMerge w:val="restart"/>
            <w:vAlign w:val="top"/>
          </w:tcPr>
          <w:p>
            <w:pPr>
              <w:pStyle w:val="0"/>
              <w:widowControl w:val="1"/>
              <w:ind w:right="884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【Ｃ】</w:t>
            </w:r>
          </w:p>
        </w:tc>
      </w:tr>
      <w:tr>
        <w:trPr>
          <w:trHeight w:val="364" w:hRule="atLeast"/>
        </w:trPr>
        <w:tc>
          <w:tcPr>
            <w:tcW w:w="226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</w:tr>
    </w:tbl>
    <w:p>
      <w:pPr>
        <w:pStyle w:val="0"/>
        <w:ind w:left="420"/>
        <w:rPr>
          <w:rFonts w:hint="default" w:asciiTheme="majorEastAsia" w:hAnsiTheme="majorEastAsia" w:eastAsiaTheme="majorEastAsia"/>
        </w:rPr>
      </w:pPr>
    </w:p>
    <w:p>
      <w:pPr>
        <w:pStyle w:val="0"/>
        <w:numPr>
          <w:ilvl w:val="0"/>
          <w:numId w:val="2"/>
        </w:numPr>
        <w:jc w:val="lef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上記の期間に対応する前年２箇月間の売上高　　　　　　　　　　　（単位：円）</w:t>
      </w:r>
    </w:p>
    <w:tbl>
      <w:tblPr>
        <w:tblStyle w:val="24"/>
        <w:tblW w:w="8506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2269"/>
        <w:gridCol w:w="2097"/>
        <w:gridCol w:w="2126"/>
        <w:gridCol w:w="2014"/>
      </w:tblGrid>
      <w:tr>
        <w:trPr>
          <w:trHeight w:val="232" w:hRule="atLeast"/>
        </w:trPr>
        <w:tc>
          <w:tcPr>
            <w:tcW w:w="2269" w:type="dxa"/>
            <w:vMerge w:val="restart"/>
            <w:vAlign w:val="top"/>
          </w:tcPr>
          <w:p>
            <w:pPr>
              <w:pStyle w:val="0"/>
              <w:widowControl w:val="1"/>
              <w:spacing w:line="360" w:lineRule="auto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前年２箇月の売上高（実績）</w:t>
            </w:r>
          </w:p>
        </w:tc>
        <w:tc>
          <w:tcPr>
            <w:tcW w:w="2097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年　　　月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年　　　月</w:t>
            </w:r>
          </w:p>
        </w:tc>
        <w:tc>
          <w:tcPr>
            <w:tcW w:w="2014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２箇月間の合計</w:t>
            </w:r>
          </w:p>
        </w:tc>
      </w:tr>
      <w:tr>
        <w:trPr>
          <w:trHeight w:val="364" w:hRule="atLeast"/>
        </w:trPr>
        <w:tc>
          <w:tcPr>
            <w:tcW w:w="226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97" w:type="dxa"/>
            <w:vMerge w:val="restart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  <w:p>
            <w:pPr>
              <w:pStyle w:val="0"/>
              <w:widowControl w:val="1"/>
              <w:jc w:val="righ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14" w:type="dxa"/>
            <w:vMerge w:val="restart"/>
            <w:vAlign w:val="top"/>
          </w:tcPr>
          <w:p>
            <w:pPr>
              <w:pStyle w:val="0"/>
              <w:widowControl w:val="1"/>
              <w:ind w:right="884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kern w:val="0"/>
              </w:rPr>
              <w:t>【Ｄ】</w:t>
            </w:r>
          </w:p>
        </w:tc>
      </w:tr>
      <w:tr>
        <w:trPr>
          <w:trHeight w:val="364" w:hRule="atLeast"/>
        </w:trPr>
        <w:tc>
          <w:tcPr>
            <w:tcW w:w="2269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97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  <w:tc>
          <w:tcPr>
            <w:tcW w:w="201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color w:val="000000"/>
                <w:kern w:val="0"/>
              </w:rPr>
            </w:pPr>
          </w:p>
        </w:tc>
      </w:tr>
    </w:tbl>
    <w:p>
      <w:pPr>
        <w:pStyle w:val="0"/>
        <w:ind w:left="420"/>
        <w:rPr>
          <w:rFonts w:hint="default" w:asciiTheme="majorEastAsia" w:hAnsiTheme="majorEastAsia" w:eastAsiaTheme="majorEastAsia"/>
        </w:rPr>
      </w:pPr>
    </w:p>
    <w:p>
      <w:pPr>
        <w:pStyle w:val="0"/>
        <w:numPr>
          <w:ilvl w:val="0"/>
          <w:numId w:val="2"/>
        </w:numPr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最近３箇月間の売上高等の実績見込み減少率</w:t>
      </w:r>
    </w:p>
    <w:p>
      <w:pPr>
        <w:pStyle w:val="0"/>
        <w:spacing w:line="360" w:lineRule="auto"/>
        <w:ind w:left="420" w:firstLine="221" w:firstLineChars="1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Ａ＋Ｃ＝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円（本年度売上高）</w:t>
      </w:r>
    </w:p>
    <w:p>
      <w:pPr>
        <w:pStyle w:val="0"/>
        <w:spacing w:line="360" w:lineRule="auto"/>
        <w:ind w:firstLine="663" w:firstLineChars="3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Ｂ＋Ｄ＝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円（前年度売上高）</w:t>
      </w:r>
    </w:p>
    <w:p>
      <w:pPr>
        <w:pStyle w:val="0"/>
        <w:ind w:firstLine="663" w:firstLineChars="300"/>
        <w:rPr>
          <w:rFonts w:hint="default" w:asciiTheme="majorEastAsia" w:hAnsiTheme="majorEastAsia" w:eastAsiaTheme="majorEastAsia"/>
        </w:rPr>
      </w:pPr>
      <w:r>
        <w:rPr>
          <w:rFonts w:hint="default" w:asciiTheme="majorEastAsia" w:hAnsiTheme="majorEastAsia" w:eastAsiaTheme="majorEastAsia"/>
        </w:rPr>
        <w:t>{</w:t>
      </w:r>
      <w:r>
        <w:rPr>
          <w:rFonts w:hint="eastAsia" w:asciiTheme="majorEastAsia" w:hAnsiTheme="majorEastAsia" w:eastAsiaTheme="majorEastAsia"/>
        </w:rPr>
        <w:t>（Ｂ＋Ｄ）－（Ａ＋Ｃ）</w:t>
      </w:r>
      <w:r>
        <w:rPr>
          <w:rFonts w:hint="default" w:asciiTheme="majorEastAsia" w:hAnsiTheme="majorEastAsia" w:eastAsiaTheme="majorEastAsia"/>
        </w:rPr>
        <w:t>}</w:t>
      </w:r>
      <w:r>
        <w:rPr>
          <w:rFonts w:hint="eastAsia" w:asciiTheme="majorEastAsia" w:hAnsiTheme="majorEastAsia" w:eastAsiaTheme="majorEastAsia"/>
        </w:rPr>
        <w:t>÷（Ｂ＋Ｄ）×</w:t>
      </w:r>
      <w:r>
        <w:rPr>
          <w:rFonts w:hint="default"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>１００＝</w:t>
      </w:r>
      <w:r>
        <w:rPr>
          <w:rFonts w:hint="eastAsia" w:asciiTheme="majorEastAsia" w:hAnsiTheme="majorEastAsia" w:eastAsiaTheme="majorEastAsia"/>
          <w:u w:val="single" w:color="auto"/>
        </w:rPr>
        <w:t>　　　　　％</w:t>
      </w:r>
      <w:r>
        <w:rPr>
          <w:rFonts w:hint="eastAsia" w:asciiTheme="majorEastAsia" w:hAnsiTheme="majorEastAsia" w:eastAsiaTheme="majorEastAsia"/>
        </w:rPr>
        <w:t>≧２０．０％</w:t>
      </w:r>
    </w:p>
    <w:p>
      <w:pPr>
        <w:pStyle w:val="0"/>
        <w:ind w:firstLine="663" w:firstLineChars="300"/>
        <w:rPr>
          <w:rFonts w:hint="default" w:asciiTheme="majorEastAsia" w:hAnsiTheme="majorEastAsia" w:eastAsiaTheme="majorEastAsia"/>
        </w:rPr>
      </w:pPr>
    </w:p>
    <w:p>
      <w:pPr>
        <w:pStyle w:val="0"/>
        <w:widowControl w:val="1"/>
        <w:ind w:left="646" w:hanging="646" w:hangingChars="292"/>
        <w:jc w:val="left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（注）認定申請にあたっては、営んでいる事業が疎明できる書類等（例えば、取り扱っている製品・サービス等を疎明できる書類、許認可証など）や、上記の売上高が分かる書類等（例えば、決算書や月次の売上台帳など）の提出が必要。</w:t>
      </w:r>
    </w:p>
    <w:p>
      <w:pPr>
        <w:pStyle w:val="0"/>
        <w:rPr>
          <w:rFonts w:hint="default" w:eastAsia="ＭＳ ゴシック"/>
          <w:sz w:val="22"/>
        </w:rPr>
      </w:pPr>
    </w:p>
    <w:sectPr>
      <w:type w:val="continuous"/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46" w:charSpace="227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5EE0096"/>
    <w:lvl w:ilvl="0" w:tplc="97F65A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5E6CBAA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7D300454"/>
    <w:lvl w:ilvl="0" w:tplc="B5E6CBA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2"/>
  <w:bordersDoNotSurroundHeader/>
  <w:bordersDoNotSurroundFooter/>
  <w:defaultTabStop w:val="840"/>
  <w:defaultTableStyle w:val="25"/>
  <w:drawingGridHorizontalSpacing w:val="221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2</Pages>
  <Words>6</Words>
  <Characters>1056</Characters>
  <Application>JUST Note</Application>
  <Lines>576</Lines>
  <Paragraphs>71</Paragraphs>
  <CharactersWithSpaces>1884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宮地 尊徳</cp:lastModifiedBy>
  <cp:lastPrinted>2023-11-24T02:40:22Z</cp:lastPrinted>
  <dcterms:created xsi:type="dcterms:W3CDTF">2020-03-04T06:35:00Z</dcterms:created>
  <dcterms:modified xsi:type="dcterms:W3CDTF">2023-11-24T02:51:53Z</dcterms:modified>
  <cp:revision>12</cp:revision>
</cp:coreProperties>
</file>