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2B7D22" w:rsidRPr="008B3776" w:rsidTr="008B3776">
        <w:trPr>
          <w:trHeight w:val="398"/>
        </w:trPr>
        <w:tc>
          <w:tcPr>
            <w:tcW w:w="10314" w:type="dxa"/>
            <w:gridSpan w:val="3"/>
            <w:vAlign w:val="center"/>
          </w:tcPr>
          <w:p w:rsidR="002B7D22" w:rsidRPr="008B3776" w:rsidRDefault="002B7D22" w:rsidP="008B3776">
            <w:pPr>
              <w:suppressAutoHyphens/>
              <w:kinsoku w:val="0"/>
              <w:autoSpaceDE w:val="0"/>
              <w:autoSpaceDN w:val="0"/>
              <w:spacing w:line="20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認定権者記載欄</w:t>
            </w:r>
          </w:p>
        </w:tc>
      </w:tr>
      <w:tr w:rsidR="002B7D22" w:rsidRPr="008B3776" w:rsidTr="00ED623B">
        <w:trPr>
          <w:trHeight w:val="53"/>
        </w:trPr>
        <w:tc>
          <w:tcPr>
            <w:tcW w:w="3222"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Borders>
              <w:lef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r w:rsidR="002B7D22" w:rsidRPr="008B3776" w:rsidTr="00ED623B">
        <w:trPr>
          <w:trHeight w:val="206"/>
        </w:trPr>
        <w:tc>
          <w:tcPr>
            <w:tcW w:w="3222" w:type="dxa"/>
            <w:tcBorders>
              <w:top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bl>
    <w:p w:rsidR="002B7D22" w:rsidRPr="008B3776" w:rsidRDefault="002B7D22" w:rsidP="008B3776">
      <w:pPr>
        <w:suppressAutoHyphens/>
        <w:kinsoku w:val="0"/>
        <w:autoSpaceDE w:val="0"/>
        <w:autoSpaceDN w:val="0"/>
        <w:spacing w:line="200" w:lineRule="exact"/>
        <w:jc w:val="left"/>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2B7D22" w:rsidRPr="008B3776" w:rsidTr="00ED623B">
        <w:tc>
          <w:tcPr>
            <w:tcW w:w="10318" w:type="dxa"/>
            <w:tcBorders>
              <w:top w:val="single" w:sz="4" w:space="0" w:color="000000"/>
              <w:left w:val="single" w:sz="4" w:space="0" w:color="000000"/>
              <w:bottom w:val="single" w:sz="4" w:space="0" w:color="000000"/>
              <w:right w:val="single" w:sz="4" w:space="0" w:color="000000"/>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r w:rsidR="005D14A5" w:rsidRPr="008B3776">
              <w:rPr>
                <w:rFonts w:ascii="ＭＳ ゴシック" w:eastAsia="ＭＳ ゴシック" w:hAnsi="ＭＳ ゴシック" w:cs="ＭＳ ゴシック" w:hint="eastAsia"/>
                <w:color w:val="000000"/>
                <w:kern w:val="0"/>
                <w:szCs w:val="21"/>
              </w:rPr>
              <w:t>）</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 xml:space="preserve">令和　　</w:t>
            </w:r>
            <w:r w:rsidRPr="008B3776">
              <w:rPr>
                <w:rFonts w:ascii="ＭＳ ゴシック" w:eastAsia="ＭＳ ゴシック" w:hAnsi="ＭＳ ゴシック" w:cs="ＭＳ ゴシック" w:hint="eastAsia"/>
                <w:color w:val="000000"/>
                <w:kern w:val="0"/>
                <w:szCs w:val="21"/>
              </w:rPr>
              <w:t>年　　月　　日</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黒潮町長</w:t>
            </w:r>
            <w:r w:rsidRPr="008B3776">
              <w:rPr>
                <w:rFonts w:ascii="ＭＳ ゴシック" w:eastAsia="ＭＳ ゴシック" w:hAnsi="ＭＳ ゴシック" w:cs="ＭＳ ゴシック" w:hint="eastAsia"/>
                <w:color w:val="000000"/>
                <w:kern w:val="0"/>
                <w:szCs w:val="21"/>
              </w:rPr>
              <w:t xml:space="preserve">　殿</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申請者</w:t>
            </w: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住　所　　　　　　　　　 　　　　　</w:t>
            </w:r>
          </w:p>
          <w:p w:rsidR="008B3776" w:rsidRPr="008B3776" w:rsidRDefault="008B3776"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u w:val="single" w:color="000000"/>
              </w:rPr>
              <w:t xml:space="preserve">氏　名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印</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pStyle w:val="a3"/>
              <w:spacing w:line="200" w:lineRule="exact"/>
              <w:jc w:val="left"/>
            </w:pPr>
            <w:r w:rsidRPr="008B3776">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2B7D22" w:rsidRPr="008B3776" w:rsidTr="00ED623B">
              <w:trPr>
                <w:trHeight w:val="327"/>
              </w:trPr>
              <w:tc>
                <w:tcPr>
                  <w:tcW w:w="3167"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2B7D22" w:rsidRPr="008B3776" w:rsidTr="00ED623B">
              <w:trPr>
                <w:trHeight w:val="341"/>
              </w:trPr>
              <w:tc>
                <w:tcPr>
                  <w:tcW w:w="3167" w:type="dxa"/>
                  <w:tcBorders>
                    <w:top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記</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Ｅ</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rPr>
              <w:t xml:space="preserve">　　　　　ｅ</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上昇率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2B7D22" w:rsidRPr="008B3776" w:rsidRDefault="002B7D22" w:rsidP="008B3776">
            <w:pPr>
              <w:suppressAutoHyphens/>
              <w:kinsoku w:val="0"/>
              <w:overflowPunct w:val="0"/>
              <w:autoSpaceDE w:val="0"/>
              <w:autoSpaceDN w:val="0"/>
              <w:adjustRightInd w:val="0"/>
              <w:spacing w:line="200" w:lineRule="exact"/>
              <w:ind w:firstLineChars="500" w:firstLine="1050"/>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u w:val="single" w:color="000000"/>
              </w:rPr>
              <w:t>Ｓ</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 xml:space="preserve">100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依存率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Ｃ：申込時点における最新の全体の売上原価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Ｓ：Ｃの売上原価に対応する指定業種に係る原油等の仕入価格</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③－１　指定業種に係る製品等価格への転嫁の状況（注３）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Ｂ１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＝Ｐ１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③－２　全体に係る製品等価格への転嫁の状況（注３）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Ｂ２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ｂ２  　＝Ｐ２</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Ｐ２＝</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Ｂ２：申込時点における最近３か月間の全体の売上高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tc>
      </w:tr>
    </w:tbl>
    <w:p w:rsidR="002B7D22" w:rsidRPr="008B3776" w:rsidRDefault="008B3776"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211A912E" wp14:editId="13406722">
                <wp:simplePos x="0" y="0"/>
                <wp:positionH relativeFrom="column">
                  <wp:posOffset>-97790</wp:posOffset>
                </wp:positionH>
                <wp:positionV relativeFrom="paragraph">
                  <wp:posOffset>-5715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A912E" id="_x0000_t202" coordsize="21600,21600" o:spt="202" path="m,l,21600r21600,l21600,xe">
                <v:stroke joinstyle="miter"/>
                <v:path gradientshapeok="t" o:connecttype="rect"/>
              </v:shapetype>
              <v:shape id="Text Box 3" o:spid="_x0000_s1026" type="#_x0000_t202" style="position:absolute;left:0;text-align:left;margin-left:-7.7pt;margin-top:-.45pt;width:516.35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" filled="f" stroked="f" strokecolor="white">
                <v:textbo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v:textbox>
              </v:shape>
            </w:pict>
          </mc:Fallback>
        </mc:AlternateContent>
      </w:r>
    </w:p>
    <w:p w:rsidR="002B7D22" w:rsidRPr="008B3776" w:rsidRDefault="002B7D22" w:rsidP="002B7D22">
      <w:pPr>
        <w:widowControl/>
        <w:jc w:val="left"/>
        <w:rPr>
          <w:rFonts w:ascii="ＭＳ ゴシック" w:eastAsia="ＭＳ ゴシック" w:hAnsi="ＭＳ ゴシック" w:cs="ＭＳ ゴシック"/>
          <w:color w:val="000000"/>
          <w:kern w:val="0"/>
          <w:szCs w:val="21"/>
        </w:rPr>
      </w:pPr>
    </w:p>
    <w:p w:rsidR="002B7D22" w:rsidRPr="008B3776" w:rsidRDefault="002B7D22"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28C13987" wp14:editId="17C8B00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333B"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p w:rsidR="002B7D22" w:rsidRPr="008B3776" w:rsidRDefault="008B3776" w:rsidP="002B7D22">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525DAB9F" wp14:editId="6E8DC15C">
                <wp:simplePos x="0" y="0"/>
                <wp:positionH relativeFrom="margin">
                  <wp:align>left</wp:align>
                </wp:positionH>
                <wp:positionV relativeFrom="paragraph">
                  <wp:posOffset>394970</wp:posOffset>
                </wp:positionV>
                <wp:extent cx="6257925" cy="12382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38250"/>
                        </a:xfrm>
                        <a:prstGeom prst="rect">
                          <a:avLst/>
                        </a:prstGeom>
                        <a:solidFill>
                          <a:srgbClr val="FFFFFF"/>
                        </a:solidFill>
                        <a:ln w="9525">
                          <a:solidFill>
                            <a:srgbClr val="000000"/>
                          </a:solidFill>
                          <a:miter lim="800000"/>
                          <a:headEnd/>
                          <a:tailEnd/>
                        </a:ln>
                      </wps:spPr>
                      <wps:txb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DAB9F" id="_x0000_t202" coordsize="21600,21600" o:spt="202" path="m,l,21600r21600,l21600,xe">
                <v:stroke joinstyle="miter"/>
                <v:path gradientshapeok="t" o:connecttype="rect"/>
              </v:shapetype>
              <v:shape id="テキスト ボックス 1" o:spid="_x0000_s1027" type="#_x0000_t202" style="position:absolute;left:0;text-align:left;margin-left:0;margin-top:31.1pt;width:492.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">
                <v:textbo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w10:wrap anchorx="margin"/>
              </v:shape>
            </w:pict>
          </mc:Fallback>
        </mc:AlternateContent>
      </w:r>
      <w:r w:rsidR="002B7D22" w:rsidRPr="008B3776">
        <w:rPr>
          <w:rFonts w:ascii="ＭＳ ゴシック" w:eastAsia="ＭＳ ゴシック" w:hAnsi="ＭＳ ゴシック" w:cs="ＭＳ ゴシック"/>
          <w:color w:val="000000"/>
          <w:kern w:val="0"/>
          <w:szCs w:val="21"/>
        </w:rPr>
        <w:br w:type="page"/>
      </w:r>
    </w:p>
    <w:p w:rsidR="002B7D22" w:rsidRPr="008B3776" w:rsidRDefault="002B7D22" w:rsidP="002B7D22">
      <w:pPr>
        <w:suppressAutoHyphens/>
        <w:kinsoku w:val="0"/>
        <w:wordWrap w:val="0"/>
        <w:overflowPunct w:val="0"/>
        <w:autoSpaceDE w:val="0"/>
        <w:autoSpaceDN w:val="0"/>
        <w:adjustRightInd w:val="0"/>
        <w:spacing w:line="320" w:lineRule="exact"/>
        <w:ind w:leftChars="-66" w:left="714" w:right="630" w:hangingChars="406" w:hanging="853"/>
        <w:jc w:val="right"/>
        <w:textAlignment w:val="baseline"/>
        <w:rPr>
          <w:rFonts w:ascii="ＭＳ ゴシック" w:eastAsia="ＭＳ ゴシック" w:hAnsi="ＭＳ ゴシック" w:cs="ＭＳ ゴシック"/>
          <w:color w:val="000000"/>
          <w:kern w:val="0"/>
          <w:szCs w:val="21"/>
        </w:rPr>
        <w:sectPr w:rsidR="002B7D22" w:rsidRPr="008B3776" w:rsidSect="008B3776">
          <w:pgSz w:w="11906" w:h="16838"/>
          <w:pgMar w:top="1134" w:right="1134" w:bottom="1134" w:left="851" w:header="851" w:footer="736" w:gutter="0"/>
          <w:cols w:space="425"/>
          <w:docGrid w:linePitch="360"/>
        </w:sectPr>
      </w:pPr>
    </w:p>
    <w:p w:rsidR="008B3776" w:rsidRDefault="008B3776" w:rsidP="008B3776">
      <w:pPr>
        <w:widowControl/>
        <w:jc w:val="left"/>
        <w:rPr>
          <w:rFonts w:ascii="ＭＳ ゴシック" w:eastAsia="ＭＳ ゴシック" w:hAnsi="ＭＳ ゴシック" w:cs="ＭＳ ゴシック"/>
          <w:color w:val="000000"/>
          <w:kern w:val="0"/>
          <w:sz w:val="24"/>
        </w:rPr>
      </w:pPr>
    </w:p>
    <w:p w:rsidR="008B3776" w:rsidRPr="008B3776" w:rsidRDefault="008B3776" w:rsidP="008B3776">
      <w:pPr>
        <w:suppressAutoHyphens/>
        <w:spacing w:line="20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（申請書ロ－③の添付書類）</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u w:val="single"/>
        </w:rPr>
      </w:pPr>
      <w:r w:rsidRPr="008B3776">
        <w:rPr>
          <w:rFonts w:ascii="ＭＳ ゴシック" w:eastAsia="ＭＳ ゴシック" w:hAnsi="ＭＳ ゴシック" w:hint="eastAsia"/>
          <w:szCs w:val="21"/>
          <w:u w:val="single"/>
        </w:rPr>
        <w:t xml:space="preserve">申請者名：　　　　　　　　　　　　　　　</w:t>
      </w:r>
      <w:r w:rsidRPr="008B3776">
        <w:rPr>
          <w:rFonts w:ascii="ＭＳ ゴシック" w:eastAsia="ＭＳ ゴシック" w:hAnsi="ＭＳ ゴシック" w:hint="eastAsia"/>
          <w:szCs w:val="21"/>
        </w:rPr>
        <w:t>印</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21"/>
        <w:gridCol w:w="3270"/>
      </w:tblGrid>
      <w:tr w:rsidR="008B3776" w:rsidRPr="008B3776" w:rsidTr="00BD5196">
        <w:tc>
          <w:tcPr>
            <w:tcW w:w="3256"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ａ．指定業種に係る原油等の最近１か月の平均仕入単価</w:t>
            </w:r>
          </w:p>
        </w:tc>
        <w:tc>
          <w:tcPr>
            <w:tcW w:w="323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ｂ.指定業種に係る原油等の前年同月の平均仕入単価</w:t>
            </w:r>
          </w:p>
        </w:tc>
        <w:tc>
          <w:tcPr>
            <w:tcW w:w="328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指定業種に係る原油等の仕入単価の上昇率</w:t>
            </w:r>
          </w:p>
        </w:tc>
      </w:tr>
      <w:tr w:rsidR="008B3776" w:rsidRPr="008B3776" w:rsidTr="00BD5196">
        <w:tc>
          <w:tcPr>
            <w:tcW w:w="3256"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3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8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【E/ｅ×100－100】</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（表２：</w:t>
      </w:r>
      <w:r w:rsidRPr="008B3776">
        <w:rPr>
          <w:rFonts w:ascii="ＭＳ ゴシック" w:eastAsia="ＭＳ ゴシック" w:hAnsi="ＭＳ ゴシック" w:cs="ＭＳ ゴシック" w:hint="eastAsia"/>
          <w:color w:val="000000"/>
          <w:kern w:val="0"/>
          <w:szCs w:val="21"/>
        </w:rPr>
        <w:t>指定業種に係る原油等の仕入価格</w:t>
      </w:r>
      <w:r w:rsidRPr="008B3776">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8B3776" w:rsidRPr="008B3776" w:rsidTr="00BD5196">
        <w:trPr>
          <w:trHeight w:val="489"/>
        </w:trPr>
        <w:tc>
          <w:tcPr>
            <w:tcW w:w="5203" w:type="dxa"/>
          </w:tcPr>
          <w:p w:rsidR="008B3776" w:rsidRPr="008B3776" w:rsidRDefault="008B3776" w:rsidP="008B3776">
            <w:pPr>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ｃ.指定業種であって、原油等の価格の上昇を製品等に転嫁できていない事業が属する業種</w:t>
            </w:r>
          </w:p>
        </w:tc>
        <w:tc>
          <w:tcPr>
            <w:tcW w:w="458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ｄ.指定業種に係る原油等の仕入価格</w:t>
            </w:r>
          </w:p>
        </w:tc>
      </w:tr>
      <w:tr w:rsidR="008B3776" w:rsidRPr="008B3776" w:rsidTr="00BD5196">
        <w:trPr>
          <w:trHeight w:val="372"/>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59"/>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24"/>
        </w:trPr>
        <w:tc>
          <w:tcPr>
            <w:tcW w:w="5203"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（表３：全体の売上原価に占める指定業種に係る原油等の仕入価格の割合</w:t>
      </w:r>
      <w:r w:rsidRPr="008B3776">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8B3776" w:rsidRPr="008B3776" w:rsidTr="00BD5196">
        <w:trPr>
          <w:trHeight w:val="1147"/>
        </w:trPr>
        <w:tc>
          <w:tcPr>
            <w:tcW w:w="2754"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全体の売上原価（ａ）</w:t>
            </w:r>
          </w:p>
        </w:tc>
        <w:tc>
          <w:tcPr>
            <w:tcW w:w="3450"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指定業種に係る原油等の仕入価格（ｂ）</w:t>
            </w:r>
          </w:p>
        </w:tc>
        <w:tc>
          <w:tcPr>
            <w:tcW w:w="340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全体の売上原価に占める指定業種に係る原油等の仕入価格の割合</w:t>
            </w:r>
          </w:p>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（ｂ/ａ×100）</w:t>
            </w:r>
          </w:p>
        </w:tc>
      </w:tr>
      <w:tr w:rsidR="008B3776" w:rsidRPr="008B3776" w:rsidTr="00BD5196">
        <w:trPr>
          <w:trHeight w:val="363"/>
        </w:trPr>
        <w:tc>
          <w:tcPr>
            <w:tcW w:w="2754"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【Ｃ】</w:t>
            </w:r>
          </w:p>
        </w:tc>
        <w:tc>
          <w:tcPr>
            <w:tcW w:w="3450"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c>
          <w:tcPr>
            <w:tcW w:w="3402"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（表４：</w:t>
      </w:r>
      <w:r w:rsidRPr="008B3776">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78"/>
        <w:gridCol w:w="1411"/>
        <w:gridCol w:w="1331"/>
        <w:gridCol w:w="1373"/>
        <w:gridCol w:w="1373"/>
        <w:gridCol w:w="1331"/>
      </w:tblGrid>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指定業種</w:t>
            </w:r>
          </w:p>
        </w:tc>
        <w:tc>
          <w:tcPr>
            <w:tcW w:w="1486"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419"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最近３か月間の指定業種に係る売上高（ｂ）</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前年同期の指定業種に係る売上高（ｄ）</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（表５：</w:t>
      </w:r>
      <w:r w:rsidRPr="008B3776">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8B3776" w:rsidRPr="008B3776" w:rsidTr="008B3776">
        <w:trPr>
          <w:trHeight w:val="984"/>
        </w:trPr>
        <w:tc>
          <w:tcPr>
            <w:tcW w:w="1981"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842"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56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前年同期の全体の売上高</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（ｄ）</w:t>
            </w:r>
          </w:p>
        </w:tc>
        <w:tc>
          <w:tcPr>
            <w:tcW w:w="135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p w:rsidR="008B3776" w:rsidRPr="008B3776" w:rsidRDefault="008B3776" w:rsidP="008B3776">
            <w:pPr>
              <w:spacing w:line="240" w:lineRule="exact"/>
              <w:rPr>
                <w:rFonts w:ascii="ＭＳ ゴシック" w:eastAsia="ＭＳ ゴシック" w:hAnsi="ＭＳ ゴシック"/>
                <w:szCs w:val="21"/>
              </w:rPr>
            </w:pPr>
          </w:p>
          <w:p w:rsidR="008B3776" w:rsidRPr="008B3776" w:rsidRDefault="008B3776" w:rsidP="008B3776">
            <w:pPr>
              <w:spacing w:line="240" w:lineRule="exact"/>
              <w:ind w:rightChars="351" w:right="737"/>
              <w:jc w:val="center"/>
              <w:rPr>
                <w:rFonts w:ascii="ＭＳ ゴシック" w:eastAsia="ＭＳ ゴシック" w:hAnsi="ＭＳ ゴシック"/>
                <w:szCs w:val="21"/>
              </w:rPr>
            </w:pPr>
          </w:p>
        </w:tc>
      </w:tr>
      <w:tr w:rsidR="008B3776" w:rsidRPr="008B3776" w:rsidTr="00BD5196">
        <w:trPr>
          <w:trHeight w:val="390"/>
        </w:trPr>
        <w:tc>
          <w:tcPr>
            <w:tcW w:w="1981"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665"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424"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842"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56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35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p>
        </w:tc>
      </w:tr>
    </w:tbl>
    <w:p w:rsidR="008B3776" w:rsidRPr="003D2893" w:rsidRDefault="008B3776" w:rsidP="008B3776">
      <w:pPr>
        <w:widowControl/>
        <w:spacing w:line="240" w:lineRule="exact"/>
        <w:ind w:left="613" w:hangingChars="292" w:hanging="613"/>
        <w:jc w:val="left"/>
        <w:rPr>
          <w:rFonts w:ascii="ＭＳ ゴシック" w:eastAsia="ＭＳ ゴシック" w:hAnsi="ＭＳ ゴシック"/>
          <w:szCs w:val="21"/>
        </w:rPr>
      </w:pPr>
      <w:r w:rsidRPr="003D2893">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2B7D22" w:rsidRPr="008B3776" w:rsidRDefault="008B3776" w:rsidP="003D2893">
      <w:pPr>
        <w:widowControl/>
        <w:spacing w:line="240" w:lineRule="exact"/>
        <w:jc w:val="left"/>
        <w:rPr>
          <w:szCs w:val="21"/>
        </w:rPr>
      </w:pPr>
      <w:r w:rsidRPr="008B3776">
        <w:rPr>
          <w:rFonts w:ascii="ＭＳ ゴシック" w:eastAsia="ＭＳ ゴシック" w:hAnsi="ＭＳ ゴシック" w:hint="eastAsia"/>
          <w:color w:val="FF0000"/>
          <w:szCs w:val="21"/>
        </w:rPr>
        <w:t xml:space="preserve">　　　</w:t>
      </w:r>
      <w:bookmarkStart w:id="0" w:name="_GoBack"/>
      <w:bookmarkEnd w:id="0"/>
    </w:p>
    <w:sectPr w:rsidR="002B7D22" w:rsidRPr="008B377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76" w:rsidRDefault="008B3776" w:rsidP="008B3776">
      <w:r>
        <w:separator/>
      </w:r>
    </w:p>
  </w:endnote>
  <w:endnote w:type="continuationSeparator" w:id="0">
    <w:p w:rsidR="008B3776" w:rsidRDefault="008B3776" w:rsidP="008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76" w:rsidRDefault="008B3776" w:rsidP="008B3776">
      <w:r>
        <w:separator/>
      </w:r>
    </w:p>
  </w:footnote>
  <w:footnote w:type="continuationSeparator" w:id="0">
    <w:p w:rsidR="008B3776" w:rsidRDefault="008B3776" w:rsidP="008B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E55CEC"/>
    <w:multiLevelType w:val="hybridMultilevel"/>
    <w:tmpl w:val="291EDFCA"/>
    <w:lvl w:ilvl="0" w:tplc="7CCAAE2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2B7D22"/>
    <w:rsid w:val="002F68EE"/>
    <w:rsid w:val="00361DC1"/>
    <w:rsid w:val="003D2893"/>
    <w:rsid w:val="005D14A5"/>
    <w:rsid w:val="008B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8B3776"/>
    <w:pPr>
      <w:tabs>
        <w:tab w:val="center" w:pos="4252"/>
        <w:tab w:val="right" w:pos="8504"/>
      </w:tabs>
      <w:snapToGrid w:val="0"/>
    </w:pPr>
  </w:style>
  <w:style w:type="character" w:customStyle="1" w:styleId="a7">
    <w:name w:val="ヘッダー (文字)"/>
    <w:basedOn w:val="a0"/>
    <w:link w:val="a6"/>
    <w:uiPriority w:val="99"/>
    <w:rsid w:val="008B3776"/>
  </w:style>
  <w:style w:type="paragraph" w:styleId="a8">
    <w:name w:val="footer"/>
    <w:basedOn w:val="a"/>
    <w:link w:val="a9"/>
    <w:uiPriority w:val="99"/>
    <w:unhideWhenUsed/>
    <w:rsid w:val="008B3776"/>
    <w:pPr>
      <w:tabs>
        <w:tab w:val="center" w:pos="4252"/>
        <w:tab w:val="right" w:pos="8504"/>
      </w:tabs>
      <w:snapToGrid w:val="0"/>
    </w:pPr>
  </w:style>
  <w:style w:type="character" w:customStyle="1" w:styleId="a9">
    <w:name w:val="フッター (文字)"/>
    <w:basedOn w:val="a0"/>
    <w:link w:val="a8"/>
    <w:uiPriority w:val="99"/>
    <w:rsid w:val="008B3776"/>
  </w:style>
  <w:style w:type="table" w:styleId="aa">
    <w:name w:val="Table Grid"/>
    <w:basedOn w:val="a1"/>
    <w:rsid w:val="008B3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