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07AE5" w:rsidRPr="0005064A" w:rsidTr="00ED623B">
        <w:trPr>
          <w:trHeight w:val="400"/>
        </w:trPr>
        <w:tc>
          <w:tcPr>
            <w:tcW w:w="10031" w:type="dxa"/>
            <w:gridSpan w:val="3"/>
          </w:tcPr>
          <w:p w:rsidR="00107AE5" w:rsidRPr="0005064A" w:rsidRDefault="00107AE5" w:rsidP="00ED623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07AE5" w:rsidRPr="0005064A" w:rsidTr="00ED623B">
        <w:trPr>
          <w:trHeight w:val="238"/>
        </w:trPr>
        <w:tc>
          <w:tcPr>
            <w:tcW w:w="3343" w:type="dxa"/>
            <w:tcBorders>
              <w:top w:val="single" w:sz="24" w:space="0" w:color="auto"/>
              <w:left w:val="single" w:sz="24" w:space="0" w:color="auto"/>
              <w:bottom w:val="single" w:sz="24" w:space="0" w:color="auto"/>
              <w:righ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r w:rsidR="00107AE5" w:rsidRPr="0005064A" w:rsidTr="00ED623B">
        <w:trPr>
          <w:trHeight w:val="273"/>
        </w:trPr>
        <w:tc>
          <w:tcPr>
            <w:tcW w:w="3343" w:type="dxa"/>
            <w:tcBorders>
              <w:top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bl>
    <w:p w:rsidR="00107AE5" w:rsidRDefault="00107AE5" w:rsidP="00107AE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07AE5" w:rsidRPr="00C35FF6" w:rsidTr="00ED623B">
        <w:tc>
          <w:tcPr>
            <w:tcW w:w="10035" w:type="dxa"/>
            <w:tcBorders>
              <w:top w:val="single" w:sz="4" w:space="0" w:color="000000"/>
              <w:left w:val="single" w:sz="4" w:space="0" w:color="000000"/>
              <w:bottom w:val="single" w:sz="4" w:space="0" w:color="000000"/>
              <w:right w:val="single" w:sz="4" w:space="0" w:color="000000"/>
            </w:tcBorders>
          </w:tcPr>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Default="00107AE5" w:rsidP="00ED623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585F">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7AE5"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42829" w:rsidRPr="00C35FF6" w:rsidRDefault="00842829" w:rsidP="0084282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07AE5" w:rsidRPr="00C35FF6" w:rsidRDefault="00107AE5" w:rsidP="00ED623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07AE5"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107AE5" w:rsidRPr="0002103D" w:rsidTr="00ED623B">
              <w:trPr>
                <w:trHeight w:val="366"/>
              </w:trPr>
              <w:tc>
                <w:tcPr>
                  <w:tcW w:w="3263" w:type="dxa"/>
                  <w:tcBorders>
                    <w:top w:val="single" w:sz="24" w:space="0" w:color="auto"/>
                    <w:left w:val="single" w:sz="24" w:space="0" w:color="auto"/>
                    <w:bottom w:val="single" w:sz="24" w:space="0" w:color="auto"/>
                    <w:righ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07AE5" w:rsidRPr="0002103D" w:rsidTr="00ED623B">
              <w:trPr>
                <w:trHeight w:val="381"/>
              </w:trPr>
              <w:tc>
                <w:tcPr>
                  <w:tcW w:w="3263" w:type="dxa"/>
                  <w:tcBorders>
                    <w:top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07AE5" w:rsidRDefault="00107AE5" w:rsidP="00ED62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07AE5" w:rsidRPr="001674FD"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07AE5" w:rsidRPr="00C35FF6"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1674FD"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（注３）Ｐ＞０となっていること。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（注４）申請者全体の値を記載。</w:t>
      </w:r>
    </w:p>
    <w:p w:rsidR="00107AE5" w:rsidRPr="000179CD" w:rsidRDefault="00107AE5" w:rsidP="000179CD">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（留意事項）</w:t>
      </w:r>
    </w:p>
    <w:p w:rsidR="00107AE5" w:rsidRPr="000179CD" w:rsidRDefault="00107AE5" w:rsidP="000179CD">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107AE5" w:rsidRPr="000179CD" w:rsidRDefault="00107AE5" w:rsidP="000179CD">
      <w:pPr>
        <w:widowControl/>
        <w:spacing w:line="180" w:lineRule="exact"/>
        <w:ind w:left="463" w:hangingChars="257" w:hanging="463"/>
        <w:jc w:val="left"/>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 xml:space="preserve">　②　</w:t>
      </w:r>
      <w:r w:rsidR="0096585F" w:rsidRPr="000179CD">
        <w:rPr>
          <w:rFonts w:ascii="ＭＳ ゴシック" w:eastAsia="ＭＳ ゴシック" w:hAnsi="ＭＳ ゴシック" w:cs="ＭＳ ゴシック" w:hint="eastAsia"/>
          <w:color w:val="000000"/>
          <w:kern w:val="0"/>
          <w:sz w:val="18"/>
          <w:szCs w:val="21"/>
        </w:rPr>
        <w:t>黒潮町長</w:t>
      </w:r>
      <w:r w:rsidRPr="000179CD">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372FB" w:rsidRDefault="00842829" w:rsidP="00842829">
      <w:pPr>
        <w:widowControl/>
        <w:jc w:val="left"/>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C2C074A" wp14:editId="10206087">
                <wp:simplePos x="0" y="0"/>
                <wp:positionH relativeFrom="column">
                  <wp:posOffset>-46355</wp:posOffset>
                </wp:positionH>
                <wp:positionV relativeFrom="paragraph">
                  <wp:posOffset>50165</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077C22" w:rsidRDefault="00077C22" w:rsidP="00842829">
                            <w:pPr>
                              <w:wordWrap w:val="0"/>
                              <w:jc w:val="right"/>
                              <w:rPr>
                                <w:rFonts w:asciiTheme="majorEastAsia" w:eastAsiaTheme="majorEastAsia" w:hAnsiTheme="majorEastAsia"/>
                              </w:rPr>
                            </w:pPr>
                            <w:r>
                              <w:rPr>
                                <w:rFonts w:asciiTheme="majorEastAsia" w:eastAsiaTheme="majorEastAsia" w:hAnsiTheme="majorEastAsia" w:hint="eastAsia"/>
                              </w:rPr>
                              <w:t>黒潮</w:t>
                            </w:r>
                            <w:r w:rsidR="00387D35">
                              <w:rPr>
                                <w:rFonts w:asciiTheme="majorEastAsia" w:eastAsiaTheme="majorEastAsia" w:hAnsiTheme="majorEastAsia"/>
                              </w:rPr>
                              <w:t xml:space="preserve">海森第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074A" id="_x0000_t202" coordsize="21600,21600" o:spt="202" path="m,l,21600r21600,l21600,xe">
                <v:stroke joinstyle="miter"/>
                <v:path gradientshapeok="t" o:connecttype="rect"/>
              </v:shapetype>
              <v:shape id="テキスト ボックス 1" o:spid="_x0000_s1026" type="#_x0000_t202" style="position:absolute;margin-left:-3.65pt;margin-top:3.95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J8pQZTfAAAACAEAAA8AAABkcnMvZG93bnJldi54bWxMj81OwzAQhO9IvIO1SFxQ65BUzU+z&#10;qRASCG5QEL26sZtE2Otgu2l4e8wJjqMZzXxTb2ej2aScHywh3C4TYIpaKwfqEN7fHhYFMB8ESaEt&#10;KYRv5WHbXF7UopL2TK9q2oWOxRLylUDoQxgrzn3bKyP80o6Kone0zogQpeu4dOIcy43maZKsuRED&#10;xYVejOq+V+3n7mQQitXTtPfP2ctHuz7qMtzk0+OXQ7y+mu82wIKaw18YfvEjOjSR6WBPJD3TCIs8&#10;i0mEvAQW7TIvUmAHhDRblcCbmv8/0PwAAAD//wMAUEsBAi0AFAAGAAgAAAAhALaDOJL+AAAA4QEA&#10;ABMAAAAAAAAAAAAAAAAAAAAAAFtDb250ZW50X1R5cGVzXS54bWxQSwECLQAUAAYACAAAACEAOP0h&#10;/9YAAACUAQAACwAAAAAAAAAAAAAAAAAvAQAAX3JlbHMvLnJlbHNQSwECLQAUAAYACAAAACEAnVjA&#10;SUkCAABiBAAADgAAAAAAAAAAAAAAAAAuAgAAZHJzL2Uyb0RvYy54bWxQSwECLQAUAAYACAAAACEA&#10;nylBlN8AAAAIAQAADwAAAAAAAAAAAAAAAACjBAAAZHJzL2Rvd25yZXYueG1sUEsFBgAAAAAEAAQA&#10;8wAAAK8FAAAAAA==&#10;">
                <v:textbox>
                  <w:txbxContent>
                    <w:p w:rsidR="00077C22" w:rsidRDefault="00077C22" w:rsidP="00842829">
                      <w:pPr>
                        <w:wordWrap w:val="0"/>
                        <w:jc w:val="right"/>
                        <w:rPr>
                          <w:rFonts w:asciiTheme="majorEastAsia" w:eastAsiaTheme="majorEastAsia" w:hAnsiTheme="majorEastAsia" w:hint="eastAsia"/>
                        </w:rPr>
                      </w:pPr>
                      <w:r>
                        <w:rPr>
                          <w:rFonts w:asciiTheme="majorEastAsia" w:eastAsiaTheme="majorEastAsia" w:hAnsiTheme="majorEastAsia" w:hint="eastAsia"/>
                        </w:rPr>
                        <w:t>黒潮</w:t>
                      </w:r>
                      <w:r w:rsidR="00387D35">
                        <w:rPr>
                          <w:rFonts w:asciiTheme="majorEastAsia" w:eastAsiaTheme="majorEastAsia" w:hAnsiTheme="majorEastAsia"/>
                        </w:rPr>
                        <w:t xml:space="preserve">海森第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v:shape>
            </w:pict>
          </mc:Fallback>
        </mc:AlternateContent>
      </w:r>
      <w:r>
        <w:br w:type="page"/>
      </w:r>
    </w:p>
    <w:p w:rsidR="00842829" w:rsidRPr="00842829" w:rsidRDefault="00842829" w:rsidP="00842829">
      <w:pPr>
        <w:widowControl/>
        <w:spacing w:line="320" w:lineRule="exact"/>
        <w:ind w:left="540" w:hangingChars="257" w:hanging="540"/>
        <w:jc w:val="righ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cs="ＭＳ ゴシック" w:hint="eastAsia"/>
          <w:color w:val="000000"/>
          <w:kern w:val="0"/>
          <w:szCs w:val="21"/>
        </w:rPr>
        <w:lastRenderedPageBreak/>
        <w:t>（申請書ロ－①の添付書類）</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u w:val="single"/>
        </w:rPr>
      </w:pPr>
      <w:r w:rsidRPr="00842829">
        <w:rPr>
          <w:rFonts w:ascii="ＭＳ ゴシック" w:eastAsia="ＭＳ ゴシック" w:hAnsi="ＭＳ ゴシック" w:hint="eastAsia"/>
          <w:szCs w:val="21"/>
          <w:u w:val="single"/>
        </w:rPr>
        <w:t xml:space="preserve">申請者名：　　　　　　　　　　　　　　　</w:t>
      </w:r>
      <w:r w:rsidRPr="00842829">
        <w:rPr>
          <w:rFonts w:ascii="ＭＳ ゴシック" w:eastAsia="ＭＳ ゴシック" w:hAnsi="ＭＳ ゴシック" w:hint="eastAsia"/>
          <w:szCs w:val="21"/>
        </w:rPr>
        <w:t>印</w:t>
      </w:r>
    </w:p>
    <w:p w:rsidR="00842829" w:rsidRPr="00842829" w:rsidRDefault="00842829" w:rsidP="00842829">
      <w:pPr>
        <w:widowControl/>
        <w:spacing w:line="320" w:lineRule="exact"/>
        <w:jc w:val="left"/>
        <w:rPr>
          <w:rFonts w:ascii="ＭＳ ゴシック" w:eastAsia="ＭＳ ゴシック" w:hAnsi="ＭＳ ゴシック"/>
          <w:szCs w:val="21"/>
        </w:rPr>
      </w:pPr>
    </w:p>
    <w:p w:rsidR="00842829" w:rsidRPr="00842829" w:rsidRDefault="00842829" w:rsidP="00842829">
      <w:pPr>
        <w:widowControl/>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（表１：事業が属する業種毎の最近１年間の売上高）</w:t>
      </w:r>
    </w:p>
    <w:tbl>
      <w:tblPr>
        <w:tblStyle w:val="aa"/>
        <w:tblW w:w="9918" w:type="dxa"/>
        <w:tblLook w:val="04A0" w:firstRow="1" w:lastRow="0" w:firstColumn="1" w:lastColumn="0" w:noHBand="0" w:noVBand="1"/>
      </w:tblPr>
      <w:tblGrid>
        <w:gridCol w:w="3823"/>
        <w:gridCol w:w="3543"/>
        <w:gridCol w:w="2552"/>
      </w:tblGrid>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業種</w:t>
            </w:r>
          </w:p>
        </w:tc>
        <w:tc>
          <w:tcPr>
            <w:tcW w:w="354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最近の売上高</w:t>
            </w:r>
          </w:p>
        </w:tc>
        <w:tc>
          <w:tcPr>
            <w:tcW w:w="2552"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構成比</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全体の売上高</w:t>
            </w: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100％</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（表２：企業全体に係る原油等の仕入単価の上昇）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868"/>
        <w:gridCol w:w="2127"/>
        <w:gridCol w:w="2693"/>
      </w:tblGrid>
      <w:tr w:rsidR="00842829" w:rsidRPr="00842829" w:rsidTr="00842829">
        <w:tc>
          <w:tcPr>
            <w:tcW w:w="2230" w:type="dxa"/>
          </w:tcPr>
          <w:p w:rsidR="00842829" w:rsidRPr="00842829" w:rsidRDefault="00842829" w:rsidP="00842829">
            <w:pPr>
              <w:spacing w:line="320" w:lineRule="exact"/>
              <w:rPr>
                <w:rFonts w:ascii="ＭＳ ゴシック" w:eastAsia="ＭＳ ゴシック" w:hAnsi="ＭＳ ゴシック"/>
                <w:szCs w:val="21"/>
              </w:rPr>
            </w:pPr>
          </w:p>
        </w:tc>
        <w:tc>
          <w:tcPr>
            <w:tcW w:w="2868"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原油等の最近１か月の平均仕入単価</w:t>
            </w:r>
          </w:p>
        </w:tc>
        <w:tc>
          <w:tcPr>
            <w:tcW w:w="2127"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原油等の前年同月の平均仕入単価</w:t>
            </w:r>
          </w:p>
        </w:tc>
        <w:tc>
          <w:tcPr>
            <w:tcW w:w="2693"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原油等の仕入単価の上昇率</w:t>
            </w:r>
          </w:p>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（E/ｅ×100－100）</w:t>
            </w:r>
          </w:p>
        </w:tc>
      </w:tr>
      <w:tr w:rsidR="00842829" w:rsidRPr="00842829" w:rsidTr="00842829">
        <w:tc>
          <w:tcPr>
            <w:tcW w:w="2230"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68"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127"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（表３：企業全体の売上原価に占める原油等の仕入価格の割合</w:t>
      </w:r>
      <w:r w:rsidRPr="00842829">
        <w:rPr>
          <w:rFonts w:ascii="ＭＳ ゴシック" w:eastAsia="ＭＳ ゴシック" w:hAnsi="ＭＳ ゴシック" w:cs="ＭＳ ゴシック" w:hint="eastAsia"/>
          <w:color w:val="000000"/>
          <w:kern w:val="0"/>
          <w:szCs w:val="21"/>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127"/>
        <w:gridCol w:w="2693"/>
      </w:tblGrid>
      <w:tr w:rsidR="00842829" w:rsidRPr="00842829" w:rsidTr="00842829">
        <w:trPr>
          <w:trHeight w:val="1147"/>
        </w:trPr>
        <w:tc>
          <w:tcPr>
            <w:tcW w:w="2263" w:type="dxa"/>
          </w:tcPr>
          <w:p w:rsidR="00842829" w:rsidRPr="00842829" w:rsidRDefault="00842829" w:rsidP="00842829">
            <w:pPr>
              <w:spacing w:line="320" w:lineRule="exact"/>
              <w:jc w:val="center"/>
              <w:rPr>
                <w:rFonts w:ascii="ＭＳ ゴシック" w:eastAsia="ＭＳ ゴシック" w:hAnsi="ＭＳ ゴシック"/>
                <w:szCs w:val="21"/>
              </w:rPr>
            </w:pPr>
          </w:p>
        </w:tc>
        <w:tc>
          <w:tcPr>
            <w:tcW w:w="2835"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w:t>
            </w:r>
          </w:p>
          <w:p w:rsidR="00842829" w:rsidRPr="00842829" w:rsidRDefault="00842829" w:rsidP="00842829">
            <w:pPr>
              <w:spacing w:line="320" w:lineRule="exact"/>
              <w:jc w:val="center"/>
              <w:rPr>
                <w:rFonts w:ascii="ＭＳ ゴシック" w:eastAsia="ＭＳ ゴシック" w:hAnsi="ＭＳ ゴシック"/>
                <w:szCs w:val="21"/>
              </w:rPr>
            </w:pPr>
          </w:p>
        </w:tc>
        <w:tc>
          <w:tcPr>
            <w:tcW w:w="2127"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最新の売上原価に対応する原油等の仕入価格</w:t>
            </w:r>
          </w:p>
        </w:tc>
        <w:tc>
          <w:tcPr>
            <w:tcW w:w="2693"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売上原価に占める原油等の仕入価格の割合</w:t>
            </w:r>
          </w:p>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（S/C×100）</w:t>
            </w:r>
          </w:p>
        </w:tc>
      </w:tr>
      <w:tr w:rsidR="00842829" w:rsidRPr="00842829" w:rsidTr="00842829">
        <w:trPr>
          <w:trHeight w:val="363"/>
        </w:trPr>
        <w:tc>
          <w:tcPr>
            <w:tcW w:w="226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35"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円【Ｃ】</w:t>
            </w:r>
          </w:p>
        </w:tc>
        <w:tc>
          <w:tcPr>
            <w:tcW w:w="2127" w:type="dxa"/>
            <w:vAlign w:val="center"/>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円【Ｓ】</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（注）最新の売上原価及び原油等の仕入価格は、直近の決算期の値を用いることも可。</w:t>
      </w:r>
    </w:p>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hint="eastAsia"/>
          <w:szCs w:val="21"/>
        </w:rPr>
        <w:t>（表４：</w:t>
      </w:r>
      <w:r w:rsidRPr="00842829">
        <w:rPr>
          <w:rFonts w:ascii="ＭＳ ゴシック" w:eastAsia="ＭＳ ゴシック" w:hAnsi="ＭＳ ゴシック" w:cs="ＭＳ ゴシック" w:hint="eastAsia"/>
          <w:color w:val="000000"/>
          <w:kern w:val="0"/>
          <w:szCs w:val="21"/>
        </w:rPr>
        <w:t>企業全体の製品等価格への転嫁の状況）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1305"/>
        <w:gridCol w:w="1305"/>
        <w:gridCol w:w="1305"/>
        <w:gridCol w:w="1305"/>
        <w:gridCol w:w="1305"/>
        <w:gridCol w:w="1305"/>
        <w:gridCol w:w="1306"/>
      </w:tblGrid>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6"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（A/B）－（a/b）＝Ｐ</w:t>
            </w:r>
          </w:p>
        </w:tc>
      </w:tr>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企業</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全体</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6"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r>
    </w:tbl>
    <w:p w:rsidR="00842829" w:rsidRPr="00842829" w:rsidRDefault="00842829" w:rsidP="00842829">
      <w:pPr>
        <w:widowControl/>
        <w:spacing w:line="320" w:lineRule="exact"/>
        <w:ind w:left="613" w:hangingChars="292" w:hanging="613"/>
        <w:jc w:val="left"/>
        <w:rPr>
          <w:rFonts w:ascii="ＭＳ ゴシック" w:eastAsia="ＭＳ ゴシック" w:hAnsi="ＭＳ ゴシック"/>
          <w:color w:val="FF0000"/>
          <w:szCs w:val="21"/>
        </w:rPr>
      </w:pPr>
      <w:r w:rsidRPr="00842829">
        <w:rPr>
          <w:rFonts w:ascii="ＭＳ ゴシック" w:eastAsia="ＭＳ ゴシック" w:hAnsi="ＭＳ ゴシック" w:hint="eastAsia"/>
          <w:szCs w:val="21"/>
        </w:rPr>
        <w:t>（注</w:t>
      </w:r>
      <w:r w:rsidRPr="00F3663A">
        <w:rPr>
          <w:rFonts w:ascii="ＭＳ ゴシック" w:eastAsia="ＭＳ ゴシック" w:hAnsi="ＭＳ ゴシック" w:hint="eastAsia"/>
          <w:szCs w:val="21"/>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42829" w:rsidRPr="00842829" w:rsidRDefault="00F3663A" w:rsidP="00F3663A">
      <w:pPr>
        <w:widowControl/>
        <w:spacing w:line="320" w:lineRule="exact"/>
        <w:jc w:val="left"/>
        <w:rPr>
          <w:rFonts w:ascii="ＭＳ ゴシック" w:eastAsia="ＭＳ ゴシック" w:hAnsi="ＭＳ ゴシック"/>
          <w:szCs w:val="21"/>
        </w:rPr>
      </w:pPr>
      <w:r>
        <w:rPr>
          <w:rFonts w:ascii="ＭＳ ゴシック" w:eastAsia="ＭＳ ゴシック" w:hAnsi="ＭＳ ゴシック" w:hint="eastAsia"/>
          <w:color w:val="FF0000"/>
          <w:szCs w:val="21"/>
        </w:rPr>
        <w:t xml:space="preserve">　　</w:t>
      </w:r>
    </w:p>
    <w:p w:rsidR="00842829" w:rsidRPr="00842829" w:rsidRDefault="00842829" w:rsidP="00842829">
      <w:pPr>
        <w:spacing w:line="320" w:lineRule="exact"/>
        <w:rPr>
          <w:szCs w:val="21"/>
        </w:rPr>
      </w:pPr>
      <w:bookmarkStart w:id="0" w:name="_GoBack"/>
      <w:bookmarkEnd w:id="0"/>
    </w:p>
    <w:sectPr w:rsidR="00842829" w:rsidRPr="00842829" w:rsidSect="00387D35">
      <w:pgSz w:w="11906" w:h="16838"/>
      <w:pgMar w:top="851" w:right="170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5F" w:rsidRDefault="0096585F" w:rsidP="0096585F">
      <w:r>
        <w:separator/>
      </w:r>
    </w:p>
  </w:endnote>
  <w:endnote w:type="continuationSeparator" w:id="0">
    <w:p w:rsidR="0096585F" w:rsidRDefault="0096585F" w:rsidP="009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5F" w:rsidRDefault="0096585F" w:rsidP="0096585F">
      <w:r>
        <w:separator/>
      </w:r>
    </w:p>
  </w:footnote>
  <w:footnote w:type="continuationSeparator" w:id="0">
    <w:p w:rsidR="0096585F" w:rsidRDefault="0096585F" w:rsidP="0096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179CD"/>
    <w:rsid w:val="00077C22"/>
    <w:rsid w:val="000B2EA9"/>
    <w:rsid w:val="00107AE5"/>
    <w:rsid w:val="002F68EE"/>
    <w:rsid w:val="00387D35"/>
    <w:rsid w:val="00842829"/>
    <w:rsid w:val="0096585F"/>
    <w:rsid w:val="00F3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96585F"/>
    <w:pPr>
      <w:tabs>
        <w:tab w:val="center" w:pos="4252"/>
        <w:tab w:val="right" w:pos="8504"/>
      </w:tabs>
      <w:snapToGrid w:val="0"/>
    </w:pPr>
  </w:style>
  <w:style w:type="character" w:customStyle="1" w:styleId="a6">
    <w:name w:val="ヘッダー (文字)"/>
    <w:basedOn w:val="a0"/>
    <w:link w:val="a5"/>
    <w:uiPriority w:val="99"/>
    <w:rsid w:val="0096585F"/>
  </w:style>
  <w:style w:type="paragraph" w:styleId="a7">
    <w:name w:val="footer"/>
    <w:basedOn w:val="a"/>
    <w:link w:val="a8"/>
    <w:uiPriority w:val="99"/>
    <w:unhideWhenUsed/>
    <w:rsid w:val="0096585F"/>
    <w:pPr>
      <w:tabs>
        <w:tab w:val="center" w:pos="4252"/>
        <w:tab w:val="right" w:pos="8504"/>
      </w:tabs>
      <w:snapToGrid w:val="0"/>
    </w:pPr>
  </w:style>
  <w:style w:type="character" w:customStyle="1" w:styleId="a8">
    <w:name w:val="フッター (文字)"/>
    <w:basedOn w:val="a0"/>
    <w:link w:val="a7"/>
    <w:uiPriority w:val="99"/>
    <w:rsid w:val="0096585F"/>
  </w:style>
  <w:style w:type="paragraph" w:styleId="a9">
    <w:name w:val="List Paragraph"/>
    <w:basedOn w:val="a"/>
    <w:uiPriority w:val="34"/>
    <w:qFormat/>
    <w:rsid w:val="0096585F"/>
    <w:pPr>
      <w:ind w:leftChars="400" w:left="840"/>
    </w:pPr>
  </w:style>
  <w:style w:type="table" w:styleId="aa">
    <w:name w:val="Table Grid"/>
    <w:basedOn w:val="a1"/>
    <w:rsid w:val="00842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